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DA4375" w:rsidRDefault="00DA4375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DA4375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21 </w:t>
      </w:r>
      <w:bookmarkStart w:id="0" w:name="_GoBack"/>
      <w:bookmarkEnd w:id="0"/>
      <w:r>
        <w:rPr>
          <w:rFonts w:asciiTheme="minorHAnsi" w:hAnsiTheme="minorHAnsi" w:cs="Arial"/>
          <w:b/>
          <w:sz w:val="22"/>
          <w:szCs w:val="22"/>
        </w:rPr>
        <w:t>Abril de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DA4375" w:rsidRPr="004546D4" w:rsidRDefault="00DA4375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39730C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Sr. </w:t>
      </w:r>
    </w:p>
    <w:p w:rsidR="0039730C" w:rsidRDefault="0039730C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Daniel Crespo</w:t>
      </w:r>
    </w:p>
    <w:p w:rsidR="00D70127" w:rsidRPr="004546D4" w:rsidRDefault="0039730C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Jefe de Compras</w:t>
      </w:r>
    </w:p>
    <w:p w:rsidR="00070F63" w:rsidRPr="004546D4" w:rsidRDefault="0039730C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EMPACRECI S.A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="0039730C">
        <w:rPr>
          <w:rFonts w:asciiTheme="minorHAnsi" w:hAnsiTheme="minorHAnsi" w:cs="Arial"/>
          <w:sz w:val="22"/>
          <w:szCs w:val="22"/>
        </w:rPr>
        <w:t xml:space="preserve"> Sr. Crespo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39730C">
        <w:rPr>
          <w:rFonts w:asciiTheme="minorHAnsi" w:hAnsiTheme="minorHAnsi" w:cs="Arial"/>
          <w:b/>
          <w:sz w:val="22"/>
          <w:szCs w:val="22"/>
        </w:rPr>
        <w:t>EMPACRECI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39730C">
        <w:rPr>
          <w:rFonts w:asciiTheme="minorHAnsi" w:eastAsiaTheme="minorHAnsi" w:hAnsiTheme="minorHAnsi" w:cs="Arial"/>
          <w:sz w:val="22"/>
          <w:szCs w:val="22"/>
        </w:rPr>
        <w:t xml:space="preserve">EMPACRECI, en el desarrollo de la misma se analizó la propuesta planteada para la digitalización tomando en consideración </w:t>
      </w:r>
      <w:r w:rsidR="00FC5F31">
        <w:rPr>
          <w:rFonts w:asciiTheme="minorHAnsi" w:eastAsiaTheme="minorHAnsi" w:hAnsiTheme="minorHAnsi" w:cs="Arial"/>
          <w:sz w:val="22"/>
          <w:szCs w:val="22"/>
        </w:rPr>
        <w:t xml:space="preserve"> los siguientes puntos:</w:t>
      </w:r>
    </w:p>
    <w:p w:rsidR="00BB30EC" w:rsidRDefault="00BB30E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Cliente conserva su información en el interior de sus oficinas</w:t>
      </w:r>
      <w:r w:rsidR="00CD11BE">
        <w:rPr>
          <w:rFonts w:asciiTheme="minorHAnsi" w:eastAsiaTheme="minorHAnsi" w:hAnsiTheme="minorHAnsi" w:cs="Arial"/>
          <w:sz w:val="22"/>
          <w:szCs w:val="22"/>
        </w:rPr>
        <w:t xml:space="preserve"> de las áreas de:</w:t>
      </w:r>
    </w:p>
    <w:p w:rsidR="00CD11BE" w:rsidRPr="00DA4375" w:rsidRDefault="00CD11BE" w:rsidP="00DA4375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E0717C" w:rsidRPr="0016125F" w:rsidRDefault="00062F7D" w:rsidP="0016125F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C84135">
        <w:rPr>
          <w:rFonts w:asciiTheme="minorHAnsi" w:eastAsiaTheme="minorHAnsi" w:hAnsiTheme="minorHAnsi" w:cs="Arial"/>
          <w:sz w:val="22"/>
          <w:szCs w:val="22"/>
        </w:rPr>
        <w:t>131.400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DA750B" w:rsidRDefault="00DA4375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eastAsiaTheme="minorHAnsi"/>
          <w:noProof/>
          <w:lang w:eastAsia="es-ES"/>
        </w:rPr>
        <w:drawing>
          <wp:anchor distT="0" distB="0" distL="114300" distR="114300" simplePos="0" relativeHeight="251674112" behindDoc="0" locked="0" layoutInCell="1" allowOverlap="1" wp14:anchorId="5D1F90EF" wp14:editId="1F08127E">
            <wp:simplePos x="0" y="0"/>
            <wp:positionH relativeFrom="column">
              <wp:posOffset>262890</wp:posOffset>
            </wp:positionH>
            <wp:positionV relativeFrom="paragraph">
              <wp:posOffset>320040</wp:posOffset>
            </wp:positionV>
            <wp:extent cx="1765300" cy="1323975"/>
            <wp:effectExtent l="0" t="0" r="6350" b="9525"/>
            <wp:wrapTopAndBottom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HAnsi"/>
          <w:noProof/>
          <w:lang w:eastAsia="es-ES"/>
        </w:rPr>
        <w:drawing>
          <wp:anchor distT="0" distB="0" distL="114300" distR="114300" simplePos="0" relativeHeight="251651584" behindDoc="1" locked="0" layoutInCell="1" allowOverlap="1" wp14:anchorId="7A6E8A47" wp14:editId="7DBBBB5A">
            <wp:simplePos x="0" y="0"/>
            <wp:positionH relativeFrom="column">
              <wp:posOffset>2738755</wp:posOffset>
            </wp:positionH>
            <wp:positionV relativeFrom="paragraph">
              <wp:posOffset>405130</wp:posOffset>
            </wp:positionV>
            <wp:extent cx="1990725" cy="1120140"/>
            <wp:effectExtent l="0" t="0" r="9525" b="3810"/>
            <wp:wrapNone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3-WA00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50B">
        <w:rPr>
          <w:rFonts w:asciiTheme="minorHAnsi" w:eastAsiaTheme="minorHAnsi" w:hAnsiTheme="minorHAnsi" w:cs="Arial"/>
          <w:b/>
          <w:sz w:val="22"/>
          <w:szCs w:val="22"/>
        </w:rPr>
        <w:t>Adjuntamos Imágenes de lo observado en la inspección</w:t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4375" w:rsidRDefault="00DA4375" w:rsidP="00817BD3">
      <w:pPr>
        <w:rPr>
          <w:rFonts w:asciiTheme="minorHAnsi" w:eastAsia="ヒラギノ角ゴ Pro W3" w:hAnsiTheme="minorHAnsi" w:cs="Arial"/>
          <w:b/>
          <w:color w:val="000000"/>
        </w:rPr>
      </w:pPr>
    </w:p>
    <w:p w:rsidR="00DA4375" w:rsidRDefault="00DA4375" w:rsidP="00817BD3">
      <w:pPr>
        <w:rPr>
          <w:rFonts w:asciiTheme="minorHAnsi" w:eastAsia="ヒラギノ角ゴ Pro W3" w:hAnsiTheme="minorHAnsi" w:cs="Arial"/>
          <w:b/>
          <w:color w:val="000000"/>
        </w:rPr>
      </w:pPr>
    </w:p>
    <w:p w:rsidR="00DA4375" w:rsidRDefault="00DA4375" w:rsidP="00817BD3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eastAsia="es-ES"/>
        </w:rPr>
        <w:drawing>
          <wp:anchor distT="0" distB="0" distL="114300" distR="114300" simplePos="0" relativeHeight="251665920" behindDoc="0" locked="0" layoutInCell="1" allowOverlap="1" wp14:anchorId="52D5DB39" wp14:editId="71480560">
            <wp:simplePos x="0" y="0"/>
            <wp:positionH relativeFrom="column">
              <wp:posOffset>4139565</wp:posOffset>
            </wp:positionH>
            <wp:positionV relativeFrom="paragraph">
              <wp:posOffset>464820</wp:posOffset>
            </wp:positionV>
            <wp:extent cx="1524000" cy="1981200"/>
            <wp:effectExtent l="0" t="0" r="0" b="0"/>
            <wp:wrapTopAndBottom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6704" behindDoc="0" locked="0" layoutInCell="1" allowOverlap="1" wp14:anchorId="75BA37BD" wp14:editId="03F93C68">
            <wp:simplePos x="0" y="0"/>
            <wp:positionH relativeFrom="column">
              <wp:posOffset>329565</wp:posOffset>
            </wp:positionH>
            <wp:positionV relativeFrom="paragraph">
              <wp:posOffset>503555</wp:posOffset>
            </wp:positionV>
            <wp:extent cx="1457325" cy="1943100"/>
            <wp:effectExtent l="0" t="0" r="9525" b="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77184" behindDoc="0" locked="0" layoutInCell="1" allowOverlap="1" wp14:anchorId="18ED3EFF" wp14:editId="609668FE">
            <wp:simplePos x="0" y="0"/>
            <wp:positionH relativeFrom="column">
              <wp:posOffset>2263140</wp:posOffset>
            </wp:positionH>
            <wp:positionV relativeFrom="paragraph">
              <wp:posOffset>439420</wp:posOffset>
            </wp:positionV>
            <wp:extent cx="1495425" cy="1993900"/>
            <wp:effectExtent l="0" t="0" r="9525" b="6350"/>
            <wp:wrapTopAndBottom/>
            <wp:docPr id="1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4375" w:rsidRDefault="00DA4375" w:rsidP="00817BD3">
      <w:pPr>
        <w:rPr>
          <w:rFonts w:asciiTheme="minorHAnsi" w:eastAsia="ヒラギノ角ゴ Pro W3" w:hAnsiTheme="minorHAnsi" w:cs="Arial"/>
          <w:b/>
          <w:color w:val="000000"/>
        </w:rPr>
      </w:pPr>
    </w:p>
    <w:p w:rsidR="008B16D3" w:rsidRDefault="00AC0D55" w:rsidP="00817BD3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43392" behindDoc="0" locked="0" layoutInCell="1" allowOverlap="1" wp14:anchorId="2B1536C4" wp14:editId="67E2D53E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79"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8B16D3" w:rsidRDefault="00323521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323521">
        <w:rPr>
          <w:noProof/>
          <w:lang w:val="es-ES" w:eastAsia="es-ES"/>
        </w:rPr>
        <w:drawing>
          <wp:inline distT="0" distB="0" distL="0" distR="0" wp14:anchorId="60500EA6" wp14:editId="7A4ED7B5">
            <wp:extent cx="5400040" cy="122765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364" w:rsidRDefault="006F0364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E64D95">
        <w:rPr>
          <w:rFonts w:asciiTheme="minorHAnsi" w:hAnsiTheme="minorHAnsi" w:cs="Arial"/>
        </w:rPr>
        <w:t>4.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817BD3">
        <w:rPr>
          <w:rFonts w:asciiTheme="minorHAnsi" w:hAnsiTheme="minorHAnsi" w:cs="Arial"/>
          <w:b/>
        </w:rPr>
        <w:t>EMPACRECI S.A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DA4375" w:rsidRDefault="00DA4375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F04B45" w:rsidP="00277D79">
      <w:pPr>
        <w:pStyle w:val="Sinespaciado"/>
        <w:ind w:right="4"/>
        <w:rPr>
          <w:rFonts w:asciiTheme="minorHAnsi" w:hAnsiTheme="minorHAnsi" w:cs="Arial"/>
        </w:rPr>
      </w:pPr>
      <w:r w:rsidRPr="00F04B45">
        <w:rPr>
          <w:noProof/>
          <w:lang w:val="es-ES" w:eastAsia="es-ES"/>
        </w:rPr>
        <w:drawing>
          <wp:inline distT="0" distB="0" distL="0" distR="0" wp14:anchorId="5C2CA078" wp14:editId="3714F715">
            <wp:extent cx="5400040" cy="1244249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4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817BD3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B2C" w:rsidRDefault="00D74B2C" w:rsidP="0012137A">
      <w:pPr>
        <w:spacing w:after="0" w:line="240" w:lineRule="auto"/>
      </w:pPr>
      <w:r>
        <w:separator/>
      </w:r>
    </w:p>
  </w:endnote>
  <w:endnote w:type="continuationSeparator" w:id="0">
    <w:p w:rsidR="00D74B2C" w:rsidRDefault="00D74B2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B2C" w:rsidRDefault="00D74B2C" w:rsidP="0012137A">
      <w:pPr>
        <w:spacing w:after="0" w:line="240" w:lineRule="auto"/>
      </w:pPr>
      <w:r>
        <w:separator/>
      </w:r>
    </w:p>
  </w:footnote>
  <w:footnote w:type="continuationSeparator" w:id="0">
    <w:p w:rsidR="00D74B2C" w:rsidRDefault="00D74B2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5519D"/>
    <w:rsid w:val="00062F7D"/>
    <w:rsid w:val="00070F63"/>
    <w:rsid w:val="000B6775"/>
    <w:rsid w:val="000E5360"/>
    <w:rsid w:val="0011135C"/>
    <w:rsid w:val="00113539"/>
    <w:rsid w:val="0012137A"/>
    <w:rsid w:val="00150724"/>
    <w:rsid w:val="0016125F"/>
    <w:rsid w:val="002049E2"/>
    <w:rsid w:val="00263123"/>
    <w:rsid w:val="00277D79"/>
    <w:rsid w:val="002B5DE3"/>
    <w:rsid w:val="002C11D8"/>
    <w:rsid w:val="002D2C62"/>
    <w:rsid w:val="002E2F8D"/>
    <w:rsid w:val="002E4F74"/>
    <w:rsid w:val="002F6490"/>
    <w:rsid w:val="00307575"/>
    <w:rsid w:val="00323521"/>
    <w:rsid w:val="00325D72"/>
    <w:rsid w:val="00333846"/>
    <w:rsid w:val="00374D71"/>
    <w:rsid w:val="003967E9"/>
    <w:rsid w:val="0039730C"/>
    <w:rsid w:val="003D6600"/>
    <w:rsid w:val="003F1318"/>
    <w:rsid w:val="00405D85"/>
    <w:rsid w:val="00442130"/>
    <w:rsid w:val="004546D4"/>
    <w:rsid w:val="0049326F"/>
    <w:rsid w:val="004F7DFC"/>
    <w:rsid w:val="00554E44"/>
    <w:rsid w:val="00575159"/>
    <w:rsid w:val="005C4C5B"/>
    <w:rsid w:val="00611170"/>
    <w:rsid w:val="0064083E"/>
    <w:rsid w:val="00664455"/>
    <w:rsid w:val="00686CF7"/>
    <w:rsid w:val="00687908"/>
    <w:rsid w:val="006A5A19"/>
    <w:rsid w:val="006C2594"/>
    <w:rsid w:val="006F0364"/>
    <w:rsid w:val="007369AE"/>
    <w:rsid w:val="007A03A7"/>
    <w:rsid w:val="00817BD3"/>
    <w:rsid w:val="00823684"/>
    <w:rsid w:val="008244F7"/>
    <w:rsid w:val="008525E6"/>
    <w:rsid w:val="008B16D3"/>
    <w:rsid w:val="008E66FF"/>
    <w:rsid w:val="00906C8C"/>
    <w:rsid w:val="009576DB"/>
    <w:rsid w:val="00A02472"/>
    <w:rsid w:val="00A41CAD"/>
    <w:rsid w:val="00A769E3"/>
    <w:rsid w:val="00A91D76"/>
    <w:rsid w:val="00A9677F"/>
    <w:rsid w:val="00AB1A48"/>
    <w:rsid w:val="00AC0D55"/>
    <w:rsid w:val="00AC7B55"/>
    <w:rsid w:val="00AD5028"/>
    <w:rsid w:val="00B24BF8"/>
    <w:rsid w:val="00B2621E"/>
    <w:rsid w:val="00B5731A"/>
    <w:rsid w:val="00B60C00"/>
    <w:rsid w:val="00BB30EC"/>
    <w:rsid w:val="00BD149D"/>
    <w:rsid w:val="00C84135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74B2C"/>
    <w:rsid w:val="00D85D3F"/>
    <w:rsid w:val="00DA4375"/>
    <w:rsid w:val="00DA750B"/>
    <w:rsid w:val="00DB187E"/>
    <w:rsid w:val="00E0717C"/>
    <w:rsid w:val="00E64D95"/>
    <w:rsid w:val="00EB383E"/>
    <w:rsid w:val="00F04B45"/>
    <w:rsid w:val="00F11E16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E9E2D4-8E02-40A6-980B-1F3D0F4C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6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677F"/>
    <w:rPr>
      <w:rFonts w:ascii="Tahoma" w:eastAsia="Calibri" w:hAnsi="Tahoma" w:cs="Tahoma"/>
      <w:sz w:val="16"/>
      <w:szCs w:val="16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2015-04-20T21:38:00Z</cp:lastPrinted>
  <dcterms:created xsi:type="dcterms:W3CDTF">2015-04-20T21:39:00Z</dcterms:created>
  <dcterms:modified xsi:type="dcterms:W3CDTF">2015-04-20T21:39:00Z</dcterms:modified>
</cp:coreProperties>
</file>